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Verdana" w:cs="Verdana" w:eastAsia="Verdana" w:hAnsi="Verdana"/>
          <w:b w:val="0"/>
          <w:i w:val="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u w:val="single"/>
          <w:vertAlign w:val="baseline"/>
          <w:rtl w:val="0"/>
        </w:rPr>
        <w:t xml:space="preserve">DISPENSA DE CHAMAMENTO PÚBLICO N. 037/2021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32" w:firstLine="0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32" w:firstLine="0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2" w:firstLine="0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540" w:firstLine="0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vertAlign w:val="baseline"/>
          <w:rtl w:val="0"/>
        </w:rPr>
        <w:t xml:space="preserve">JUSTIFICATIVA DE DISPENSA DE PARA CELEBRAÇÃO DE TERMO DE COLABORAÇÃO COM A “OSCOPAC – OBRAS SOCIAIS DA COMUNIDADE PAROQUIAL DE COQUEIROS” – LEI 13.019/2014 C/C DECRETO MUNICIPAL 21.966/2020.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vertAlign w:val="baseline"/>
          <w:rtl w:val="0"/>
        </w:rPr>
        <w:t xml:space="preserve">Parceiro: OSCOPAC – OBRAS SOCIAIS DA COMUNIDADE PAROQUIAL DE COQUEIROS, 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CNPJ sob o nº. 80.672.645/0001-00.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executar o Plano de Trabalho para a realização de atendimento de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016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(dezesseis)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crianças/adolescentes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Educação Complementar do Ensino Fundamental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 meta  estabelecida e aprovada pela área afim, parte integrante deste processo anexado no sistema Bússola de informações.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vertAlign w:val="baseline"/>
          <w:rtl w:val="0"/>
        </w:rPr>
        <w:t xml:space="preserve">Vigência: 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A vigência será</w:t>
      </w:r>
      <w:r w:rsidDel="00000000" w:rsidR="00000000" w:rsidRPr="00000000">
        <w:rPr>
          <w:rFonts w:ascii="Verdana" w:cs="Verdana" w:eastAsia="Verdana" w:hAnsi="Verdana"/>
          <w:b w:val="1"/>
          <w:i w:val="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a partir da data da assinatura </w:t>
      </w:r>
      <w:r w:rsidDel="00000000" w:rsidR="00000000" w:rsidRPr="00000000">
        <w:rPr>
          <w:rFonts w:ascii="Verdana" w:cs="Verdana" w:eastAsia="Verdana" w:hAnsi="Verdana"/>
          <w:i w:val="0"/>
          <w:color w:val="000000"/>
          <w:vertAlign w:val="baseline"/>
          <w:rtl w:val="0"/>
        </w:rPr>
        <w:t xml:space="preserve">até 31/12/2021, com a possibilidade de prorrogação, mediante termo aditivo.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vertAlign w:val="baseline"/>
          <w:rtl w:val="0"/>
        </w:rPr>
        <w:t xml:space="preserve">Valor Global: 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V</w:t>
      </w:r>
      <w:r w:rsidDel="00000000" w:rsidR="00000000" w:rsidRPr="00000000">
        <w:rPr>
          <w:rFonts w:ascii="Verdana" w:cs="Verdana" w:eastAsia="Verdana" w:hAnsi="Verdana"/>
          <w:i w:val="0"/>
          <w:color w:val="000000"/>
          <w:vertAlign w:val="baseline"/>
          <w:rtl w:val="0"/>
        </w:rPr>
        <w:t xml:space="preserve">alor anual para 2021 será de até </w:t>
      </w:r>
      <w:r w:rsidDel="00000000" w:rsidR="00000000" w:rsidRPr="00000000">
        <w:rPr>
          <w:rFonts w:ascii="Verdana" w:cs="Verdana" w:eastAsia="Verdana" w:hAnsi="Verdana"/>
          <w:b w:val="1"/>
          <w:i w:val="0"/>
          <w:color w:val="000000"/>
          <w:vertAlign w:val="baseline"/>
          <w:rtl w:val="0"/>
        </w:rPr>
        <w:t xml:space="preserve">R$ 35.634,72 (trinta e cinco mil e seiscentos e trinta e quatro reais e setenta e dois centavos) 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conforme cronograma físico financeiro/2021, aprovado e incluso no sistema Bússola da Prefeitura Municipal de Florianópolis.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O Município de Florianópolis, por interveniência da Secretaria Municipal de Educação, possuiu parcerias com a </w:t>
      </w:r>
      <w:r w:rsidDel="00000000" w:rsidR="00000000" w:rsidRPr="00000000">
        <w:rPr>
          <w:rFonts w:ascii="Verdana" w:cs="Verdana" w:eastAsia="Verdana" w:hAnsi="Verdana"/>
          <w:b w:val="1"/>
          <w:i w:val="1"/>
          <w:vertAlign w:val="baseline"/>
          <w:rtl w:val="0"/>
        </w:rPr>
        <w:t xml:space="preserve">OSCOPAC – OBRAS SOCIAIS DA COMUNIDADE PAROQUIAL DE COQUEIROS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 desde 2013, formalizados ao longo dos anos por instrumento de convênio, aditivos de prazo e planos de trabalho para cada ano específico.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ab/>
        <w:tab/>
        <w:t xml:space="preserve">Em 2017 entrou em vigor a lei 13.019/2014, chamada de “Marco Regulatório”, que estabeleceu o regime jurídico das parcerias voluntárias, com ou sem transferência de recursos financeiros, entre a administração pública e organizações da sociedade civil, em regime de mútua cooperação, para a consecução de finalidades de interesse público.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ab/>
        <w:tab/>
        <w:t xml:space="preserve">Referida lei passou a ser aplicada aos Municípios, a partir de 1º de janeiro de 2017 e estabelece uma série de critérios para a formalização de ajuste, dentre eles, a regra geral de chamamento público.</w:t>
      </w:r>
    </w:p>
    <w:p w:rsidR="00000000" w:rsidDel="00000000" w:rsidP="00000000" w:rsidRDefault="00000000" w:rsidRPr="00000000" w14:paraId="00000014">
      <w:pPr>
        <w:spacing w:line="360" w:lineRule="auto"/>
        <w:ind w:firstLine="708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         Em novembro de 2017, a Secretaria de Educação realizou um Chamamento Público n. 001/2017 para realizar um credenciamento das Organizações da Sociedade Civil que já possuíam convênios e parcerias com a Educação em 2017, pautado nos critérios do Decreto Municipal 17.361/2017, pensando em futuras parcerias a partir de 2018. A Instituição em epígrafe atendeu ao chamado, cumpriu os requisitos solicitados e foi </w:t>
      </w:r>
      <w:r w:rsidDel="00000000" w:rsidR="00000000" w:rsidRPr="00000000">
        <w:rPr>
          <w:rFonts w:ascii="Verdana" w:cs="Verdana" w:eastAsia="Verdana" w:hAnsi="Verdana"/>
          <w:b w:val="1"/>
          <w:i w:val="1"/>
          <w:vertAlign w:val="baseline"/>
          <w:rtl w:val="0"/>
        </w:rPr>
        <w:t xml:space="preserve">Credenciada pelo nº. 020/2018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, conforme cópia autenticada em anexo.</w:t>
      </w:r>
    </w:p>
    <w:p w:rsidR="00000000" w:rsidDel="00000000" w:rsidP="00000000" w:rsidRDefault="00000000" w:rsidRPr="00000000" w14:paraId="00000015">
      <w:pPr>
        <w:spacing w:line="360" w:lineRule="auto"/>
        <w:ind w:firstLine="708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ab/>
        <w:t xml:space="preserve">Em outubro de 2020, a Secretaria de Educação realizou o Credenciamento n. 001/2020 para realizar um credenciamento das Organizações da Sociedade Civil que já possuíam convênios e parcerias com a Educação em 2020, pautado nos critérios do Decreto Municipal 21.966/2020, pensando em futuras parcerias a partir de 2021. A Instituição em epígrafe atendeu ao chamado, cumpriu os requisitos solicitados e foi </w:t>
      </w:r>
      <w:r w:rsidDel="00000000" w:rsidR="00000000" w:rsidRPr="00000000">
        <w:rPr>
          <w:rFonts w:ascii="Verdana" w:cs="Verdana" w:eastAsia="Verdana" w:hAnsi="Verdana"/>
          <w:b w:val="1"/>
          <w:i w:val="1"/>
          <w:vertAlign w:val="baseline"/>
          <w:rtl w:val="0"/>
        </w:rPr>
        <w:t xml:space="preserve">Credenciada pelo nº. 034/2021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, conforme cópia autenticada em anexo.</w:t>
      </w:r>
    </w:p>
    <w:p w:rsidR="00000000" w:rsidDel="00000000" w:rsidP="00000000" w:rsidRDefault="00000000" w:rsidRPr="00000000" w14:paraId="00000016">
      <w:pPr>
        <w:spacing w:line="360" w:lineRule="auto"/>
        <w:ind w:firstLine="1416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A instituição apresentou em janeiro de 2021 um plano de trabalho para uma parceria com a Secretaria de Educação, mediante Colaboração, a partir de uma Dispensa de Chamamento Público.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ab/>
        <w:tab/>
        <w:t xml:space="preserve">Como é sabido, poderá ser dispensado o Chamamento Público quando tratar-se de “</w:t>
      </w:r>
      <w:r w:rsidDel="00000000" w:rsidR="00000000" w:rsidRPr="00000000">
        <w:rPr>
          <w:rFonts w:ascii="Verdana" w:cs="Verdana" w:eastAsia="Verdana" w:hAnsi="Verdana"/>
          <w:b w:val="1"/>
          <w:i w:val="1"/>
          <w:vertAlign w:val="baseline"/>
          <w:rtl w:val="0"/>
        </w:rPr>
        <w:t xml:space="preserve">de atividades voltadas ou vinculadas a serviços de educação</w:t>
      </w:r>
      <w:r w:rsidDel="00000000" w:rsidR="00000000" w:rsidRPr="00000000">
        <w:rPr>
          <w:rFonts w:ascii="Verdana" w:cs="Verdana" w:eastAsia="Verdana" w:hAnsi="Verdana"/>
          <w:i w:val="1"/>
          <w:vertAlign w:val="baseline"/>
          <w:rtl w:val="0"/>
        </w:rPr>
        <w:t xml:space="preserve">, saúde e assistência social, </w:t>
      </w:r>
      <w:r w:rsidDel="00000000" w:rsidR="00000000" w:rsidRPr="00000000">
        <w:rPr>
          <w:rFonts w:ascii="Verdana" w:cs="Verdana" w:eastAsia="Verdana" w:hAnsi="Verdana"/>
          <w:b w:val="1"/>
          <w:i w:val="1"/>
          <w:vertAlign w:val="baseline"/>
          <w:rtl w:val="0"/>
        </w:rPr>
        <w:t xml:space="preserve">desde que executadas por organizações da sociedade civil previamente credenciadas pelo gestor da respectiva política</w:t>
      </w:r>
      <w:r w:rsidDel="00000000" w:rsidR="00000000" w:rsidRPr="00000000">
        <w:rPr>
          <w:rFonts w:ascii="Verdana" w:cs="Verdana" w:eastAsia="Verdana" w:hAnsi="Verdana"/>
          <w:i w:val="1"/>
          <w:vertAlign w:val="baseline"/>
          <w:rtl w:val="0"/>
        </w:rPr>
        <w:t xml:space="preserve">”, 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conforme</w:t>
      </w:r>
      <w:r w:rsidDel="00000000" w:rsidR="00000000" w:rsidRPr="00000000">
        <w:rPr>
          <w:rFonts w:ascii="Verdana" w:cs="Verdana" w:eastAsia="Verdana" w:hAnsi="Verdana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o inciso VI, do artigo 30 da Lei nº 13.019/2014 e </w:t>
      </w:r>
      <w:r w:rsidDel="00000000" w:rsidR="00000000" w:rsidRPr="00000000">
        <w:rPr>
          <w:rFonts w:ascii="Verdana" w:cs="Verdana" w:eastAsia="Verdana" w:hAnsi="Verdana"/>
          <w:i w:val="0"/>
          <w:color w:val="000000"/>
          <w:vertAlign w:val="baseline"/>
          <w:rtl w:val="0"/>
        </w:rPr>
        <w:t xml:space="preserve">inciso I, alínea “e” do art. 12 do Decreto 21.966/2020. Neste caso, evidenciado pelo histórico de atividades da organização com esta secretaria e o pelo credenciamento previamente realizado.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1416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Até o presente momento, a Instituição cumpriu com grande zelo às necessidades educacionais e de desenvolvimento sócio educativo das crianças/adolescentes por ela atendidas nestes últimos 08 (oito) anos. O Plano de Trabalho apresentado é condizente com os objetivos buscados pelas políticas de educação e atendimento dessa secretaria e município e foi aprovado pela Diretoria de Ensino Fundamental, conforme parecer anexo ao processo.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ab/>
        <w:tab/>
        <w:t xml:space="preserve">A Constituição da República tem como um dos seus princípios fundamentais a dignidade da pessoa humana e destaca como uma das competências dos entes federados proporcionar os meios necessários de acesso à educação e cultura.</w:t>
        <w:tab/>
        <w:t xml:space="preserve">Contudo, é competência constitucional do município manter programas da Educação Infantil e do Ensino Fundamental, com ampliação de jornada sempre que for possível. Finalmente, o artigo 213, autoriza a destinação de recursos públicos às escolas filantrópicas sem fins lucrativos.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ab/>
        <w:tab/>
        <w:t xml:space="preserve">A entidade parceira indicada é organização da sociedade civil, sem fins lucrativos, não remunerados, nem sequer distribui lucros e/ou excedentes aos diretores, gestores ou associados, bem como tem previsto a destinação do seu patrimônio a outra instituição de mesma natureza ou ao Poder Público, em caso de desconstituição, atendendo plenamente aos critérios do art. 2º, I, da Lei 13.019/2014.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ab/>
        <w:tab/>
        <w:t xml:space="preserve">Cabe salientar que a entidade, previamente Credenciada, já apresentou os documentos solicitados no art. 40 do Decreto 21.966/2020, cumprindo assim, os requisitos mínimos para a formalização do Termo, pelo Credenciamento nº 001/2020, cabendo apenas em manter-se sempre habilitada nos moldes da lei vigente no sistema Bússola, e apresentando, em suas prestações de contas, todas as comprovações de regularidade fiscal e trabalhista como condição de pleno atendimento e de efetivo pagamento das obrigações estabelecidas.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ab/>
        <w:tab/>
        <w:t xml:space="preserve">Os recursos financeiros para a execução do Plano de Trabalho foram previamente aprovados pelo Comitê Gestor pela </w:t>
      </w:r>
      <w:r w:rsidDel="00000000" w:rsidR="00000000" w:rsidRPr="00000000">
        <w:rPr>
          <w:rFonts w:ascii="Verdana" w:cs="Verdana" w:eastAsia="Verdana" w:hAnsi="Verdana"/>
          <w:b w:val="1"/>
          <w:i w:val="1"/>
          <w:vertAlign w:val="baseline"/>
          <w:rtl w:val="0"/>
        </w:rPr>
        <w:t xml:space="preserve">Deliberação n. 6810/2020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, num montante global para atender todas as demandas desta secretaria.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ab/>
        <w:tab/>
        <w:t xml:space="preserve">Diante disto, entendemos haver justificativa válida, idônea e de interesse público para a celebração do Termo de Colaboração por Dispensa de Chamamento Público, conforme art. 30, Lei Federal nº 13.019/2014 c/c com inciso IV, do art. 12 do Decreto Municipal nº 21.966/2020.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ab/>
        <w:tab/>
        <w:t xml:space="preserve">Ante o exposto, opinamos pela realização do Termo de Colaboração, mediante Dispensa, desde que cumprido todos os requisitos necessários na Lei 13.019/2014 e Decreto Municipal nº 21.966/2020, pertinentes ao caso.</w:t>
      </w:r>
    </w:p>
    <w:p w:rsidR="00000000" w:rsidDel="00000000" w:rsidP="00000000" w:rsidRDefault="00000000" w:rsidRPr="00000000" w14:paraId="0000001F">
      <w:pPr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vertAlign w:val="baseline"/>
          <w:rtl w:val="0"/>
        </w:rPr>
        <w:t xml:space="preserve">GILBERTO AMÉRICO SOUTO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vertAlign w:val="baseline"/>
          <w:rtl w:val="0"/>
        </w:rPr>
        <w:t xml:space="preserve">Assessor Jurídico da Secretaria Municipal de Educação de Florianópolis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vertAlign w:val="baseline"/>
          <w:rtl w:val="0"/>
        </w:rPr>
        <w:t xml:space="preserve">DE ACORDO,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Trata-se de justificativa de Dispensa de Chamamento Público para celebração de Termo de Colaboração com a instituição parceira acima indicada </w:t>
      </w:r>
      <w:r w:rsidDel="00000000" w:rsidR="00000000" w:rsidRPr="00000000">
        <w:rPr>
          <w:rFonts w:ascii="Verdana" w:cs="Verdana" w:eastAsia="Verdana" w:hAnsi="Verdana"/>
          <w:i w:val="1"/>
          <w:vertAlign w:val="baseline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i w:val="1"/>
          <w:vertAlign w:val="baseline"/>
          <w:rtl w:val="0"/>
        </w:rPr>
        <w:t xml:space="preserve">OSCOPAC – OBRAS SOCIAIS DA COMUNIDADE PAROQUIAL DE COQUEIROS.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ab/>
        <w:tab/>
        <w:t xml:space="preserve">As considerações trazidas atendem ao interesse público e obedeceram aos princípios constitucionais e aos termos legais, de forma que defiro a justificativa e homologo para os devidos fins e direitos.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ab/>
        <w:tab/>
        <w:t xml:space="preserve">A justificativa e homologação deverão ser disponibilizadas no site da Prefeitura Municipal de Florianópolis, como forma de atender o art. 32, § 1º da Lei Federal nº 13.019/2014 c/c art. 13 do Decreto Municipal nº 21.966/2020. O extrato do Termo de Colaboração, após o cumprimento dos prazos, deverá ser publicado no Diário Oficial do Município.  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vertAlign w:val="baseline"/>
          <w:rtl w:val="0"/>
        </w:rPr>
        <w:t xml:space="preserve">Florianópolis, 10 de março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vertAlign w:val="baseline"/>
          <w:rtl w:val="0"/>
        </w:rPr>
        <w:t xml:space="preserve">RODRIGO GOULART LEITE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vertAlign w:val="baseline"/>
          <w:rtl w:val="0"/>
        </w:rPr>
        <w:t xml:space="preserve">Secretário Municipal de Educação de Florianópolis e.e.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 w:orient="portrait"/>
      <w:pgMar w:bottom="567" w:top="567" w:left="1701" w:right="1418" w:header="720" w:footer="41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533650" cy="7334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33650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i w:val="1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